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6600"/>
          <w:spacing w:val="0"/>
          <w:position w:val="0"/>
          <w:sz w:val="40"/>
          <w:shd w:fill="auto" w:val="clear"/>
        </w:rPr>
        <w:t xml:space="preserve">Законы  детской общественной  организации "Дружба"</w:t>
      </w:r>
    </w:p>
    <w:tbl>
      <w:tblPr/>
      <w:tblGrid>
        <w:gridCol w:w="3048"/>
        <w:gridCol w:w="5385"/>
      </w:tblGrid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Закон коллективизма</w:t>
            </w:r>
          </w:p>
        </w:tc>
        <w:tc>
          <w:tcPr>
            <w:tcW w:w="5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Один за всех и все за одного</w:t>
            </w:r>
          </w:p>
        </w:tc>
      </w:tr>
      <w:tr>
        <w:trPr>
          <w:trHeight w:val="360" w:hRule="auto"/>
          <w:jc w:val="left"/>
        </w:trPr>
        <w:tc>
          <w:tcPr>
            <w:tcW w:w="3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Закон честности и правдивости</w:t>
            </w:r>
          </w:p>
        </w:tc>
        <w:tc>
          <w:tcPr>
            <w:tcW w:w="5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Вранье не ведет в добро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Закон трудолюбия</w:t>
            </w:r>
          </w:p>
        </w:tc>
        <w:tc>
          <w:tcPr>
            <w:tcW w:w="5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Труд - дело чести, будь в труде на первом месте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Закон оптимизма</w:t>
            </w:r>
          </w:p>
        </w:tc>
        <w:tc>
          <w:tcPr>
            <w:tcW w:w="5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Несчастья бояться - счастья не видать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Закон смелости</w:t>
            </w:r>
          </w:p>
        </w:tc>
        <w:tc>
          <w:tcPr>
            <w:tcW w:w="5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За правое дело стой смело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Закон любознательности</w:t>
            </w:r>
          </w:p>
        </w:tc>
        <w:tc>
          <w:tcPr>
            <w:tcW w:w="5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Век живи, век учись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Закон опрятности</w:t>
            </w:r>
          </w:p>
        </w:tc>
        <w:tc>
          <w:tcPr>
            <w:tcW w:w="5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Чистота - половина здоровья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Закон корректности</w:t>
            </w:r>
          </w:p>
        </w:tc>
        <w:tc>
          <w:tcPr>
            <w:tcW w:w="5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Слово не воробей, вылетит, не поймаешь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Закон доброжелательности</w:t>
            </w:r>
          </w:p>
        </w:tc>
        <w:tc>
          <w:tcPr>
            <w:tcW w:w="5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Жизнь дана на добрые дела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Закон точности</w:t>
            </w:r>
          </w:p>
        </w:tc>
        <w:tc>
          <w:tcPr>
            <w:tcW w:w="5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Семеро одного не ждут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Закон здоровья</w:t>
            </w:r>
          </w:p>
        </w:tc>
        <w:tc>
          <w:tcPr>
            <w:tcW w:w="5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В здоровом теле здоровый дух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Закон патриотизма</w:t>
            </w:r>
          </w:p>
        </w:tc>
        <w:tc>
          <w:tcPr>
            <w:tcW w:w="5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Всякому мила своя сторона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Закон песни</w:t>
            </w:r>
          </w:p>
        </w:tc>
        <w:tc>
          <w:tcPr>
            <w:tcW w:w="53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Тот, кто песни петь и слушать не умеет, тот не будет счастлив никогда!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